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9D6295">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9D6295">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9D6295">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9D6295">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9D6295">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9D6295">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9D6295">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9D6295">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9D6295">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9D6295">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9D6295">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Start w:id="1" w:name="_GoBack"/>
      <w:bookmarkEnd w:id="0"/>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443422FE"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1F2F5174" w14:textId="2FE84868" w:rsidR="009E7EE9" w:rsidRPr="009E7EE9" w:rsidRDefault="009E7EE9" w:rsidP="005506A9">
      <w:pPr>
        <w:spacing w:before="120"/>
        <w:ind w:firstLine="425"/>
        <w:jc w:val="both"/>
        <w:rPr>
          <w:rFonts w:ascii="Times New Roman" w:hAnsi="Times New Roman"/>
          <w:b/>
          <w:sz w:val="22"/>
        </w:rPr>
      </w:pPr>
      <w:r w:rsidRPr="009E7EE9">
        <w:rPr>
          <w:rFonts w:ascii="Times New Roman" w:hAnsi="Times New Roman"/>
          <w:b/>
          <w:sz w:val="22"/>
        </w:rPr>
        <w:t xml:space="preserve">- </w:t>
      </w:r>
      <w:r>
        <w:rPr>
          <w:rFonts w:ascii="Times New Roman" w:hAnsi="Times New Roman"/>
          <w:b/>
          <w:sz w:val="22"/>
        </w:rPr>
        <w:t>карточку предприятия с указанием банковских реквизитов.</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354A5C21" w:rsidR="00E93AEA" w:rsidRPr="00676479" w:rsidRDefault="00E93AEA" w:rsidP="005506A9">
      <w:pPr>
        <w:pStyle w:val="af0"/>
      </w:pPr>
      <w:r w:rsidRPr="00676479">
        <w:t xml:space="preserve">Компания сохраняет право выбрать </w:t>
      </w:r>
      <w:proofErr w:type="gramStart"/>
      <w:r w:rsidRPr="00676479">
        <w:t>Предложение</w:t>
      </w:r>
      <w:proofErr w:type="gramEnd"/>
      <w:r w:rsidRPr="00676479">
        <w:t xml:space="preserve"> имеющее не самую низкую цену, а также принимать или отклонять любое </w:t>
      </w:r>
      <w:r w:rsidR="009E7EE9">
        <w:t>П</w:t>
      </w:r>
      <w:r w:rsidRPr="00676479">
        <w:t>редложение полностью или частично</w:t>
      </w:r>
      <w:r w:rsidR="00F801BA" w:rsidRPr="00676479">
        <w:t>;</w:t>
      </w:r>
      <w:r w:rsidRPr="00676479">
        <w:t xml:space="preserve"> отклонять все </w:t>
      </w:r>
      <w:r w:rsidR="009E7EE9">
        <w:t>П</w:t>
      </w:r>
      <w:r w:rsidRPr="00676479">
        <w:t>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w:t>
      </w:r>
      <w:r w:rsidR="009E7EE9">
        <w:t>П</w:t>
      </w:r>
      <w:r w:rsidRPr="00676479">
        <w:t xml:space="preserve">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 xml:space="preserve">Цена Предложения Участника Тендера должна быть указана </w:t>
      </w:r>
      <w:r w:rsidRPr="009E7EE9">
        <w:rPr>
          <w:color w:val="FF0000"/>
          <w:u w:val="single"/>
        </w:rPr>
        <w:t>в рублях без учета НДС</w:t>
      </w:r>
      <w:r w:rsidRPr="00BC55D1">
        <w:t>.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363B59">
      <w:headerReference w:type="default" r:id="rId11"/>
      <w:footerReference w:type="default" r:id="rId12"/>
      <w:headerReference w:type="first" r:id="rId13"/>
      <w:pgSz w:w="11906" w:h="16838" w:code="9"/>
      <w:pgMar w:top="1134" w:right="624" w:bottom="851" w:left="1418"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5BA7" w14:textId="77777777" w:rsidR="009D6295" w:rsidRDefault="009D6295">
      <w:r>
        <w:separator/>
      </w:r>
    </w:p>
  </w:endnote>
  <w:endnote w:type="continuationSeparator" w:id="0">
    <w:p w14:paraId="79ED6371" w14:textId="77777777" w:rsidR="009D6295" w:rsidRDefault="009D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07F731D3"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363B59">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FEE4" w14:textId="77777777" w:rsidR="009D6295" w:rsidRDefault="009D6295">
      <w:r>
        <w:separator/>
      </w:r>
    </w:p>
  </w:footnote>
  <w:footnote w:type="continuationSeparator" w:id="0">
    <w:p w14:paraId="7D3F5AFA" w14:textId="77777777" w:rsidR="009D6295" w:rsidRDefault="009D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0B1D0521"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9E7EE9" w:rsidRPr="009E7EE9">
      <w:rPr>
        <w:sz w:val="16"/>
        <w:lang w:val="en-US"/>
      </w:rPr>
      <w:t>027</w:t>
    </w:r>
    <w:r w:rsidR="00363B59">
      <w:rPr>
        <w:sz w:val="16"/>
        <w:lang w:val="en-US"/>
      </w:rPr>
      <w:t>1</w:t>
    </w:r>
    <w:r w:rsidR="009E7EE9" w:rsidRPr="009E7EE9">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29D3D92" w:rsidR="004C0621" w:rsidRPr="00671A04" w:rsidRDefault="004C0621" w:rsidP="00676479">
    <w:pPr>
      <w:pStyle w:val="a7"/>
      <w:tabs>
        <w:tab w:val="clear" w:pos="4320"/>
        <w:tab w:val="clear" w:pos="8640"/>
        <w:tab w:val="right" w:pos="9923"/>
      </w:tabs>
      <w:rPr>
        <w:rFonts w:ascii="Times New Roman" w:hAnsi="Times New Roman"/>
        <w:sz w:val="28"/>
      </w:rPr>
    </w:pPr>
    <w:r w:rsidRPr="00671A04">
      <w:rPr>
        <w:rFonts w:ascii="Times New Roman" w:hAnsi="Times New Roman"/>
        <w:sz w:val="18"/>
      </w:rPr>
      <w:t>Тендер №</w:t>
    </w:r>
    <w:r w:rsidRPr="00671A04">
      <w:rPr>
        <w:rFonts w:ascii="Times New Roman" w:hAnsi="Times New Roman"/>
        <w:sz w:val="18"/>
        <w:lang w:val="en-US"/>
      </w:rPr>
      <w:t xml:space="preserve"> </w:t>
    </w:r>
    <w:r w:rsidR="009E7EE9" w:rsidRPr="00671A04">
      <w:rPr>
        <w:rFonts w:ascii="Times New Roman" w:hAnsi="Times New Roman"/>
        <w:sz w:val="18"/>
        <w:lang w:val="en-US"/>
      </w:rPr>
      <w:t>027</w:t>
    </w:r>
    <w:r w:rsidR="00363B59">
      <w:rPr>
        <w:rFonts w:ascii="Times New Roman" w:hAnsi="Times New Roman"/>
        <w:sz w:val="18"/>
        <w:lang w:val="en-US"/>
      </w:rPr>
      <w:t>1</w:t>
    </w:r>
    <w:r w:rsidR="009E7EE9" w:rsidRPr="00671A04">
      <w:rPr>
        <w:rFonts w:ascii="Times New Roman" w:hAnsi="Times New Roman"/>
        <w:sz w:val="18"/>
        <w:lang w:val="en-US"/>
      </w:rPr>
      <w:t>-AO</w:t>
    </w:r>
    <w:r w:rsidRPr="00671A04">
      <w:rPr>
        <w:rFonts w:ascii="Times New Roman" w:hAnsi="Times New Roman"/>
        <w:sz w:val="18"/>
        <w:lang w:val="en-US"/>
      </w:rPr>
      <w:tab/>
    </w:r>
    <w:r w:rsidRPr="00671A04">
      <w:rPr>
        <w:rFonts w:ascii="Times New Roman" w:hAnsi="Times New Roman"/>
        <w:sz w:val="18"/>
      </w:rPr>
      <w:t xml:space="preserve">ПРИЛОЖЕНИЕ № </w:t>
    </w:r>
    <w:r w:rsidR="00BF77BA" w:rsidRPr="00671A04">
      <w:rPr>
        <w:rFonts w:ascii="Times New Roman" w:hAnsi="Times New Roman"/>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B59"/>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1A04"/>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2B4"/>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562AF"/>
    <w:rsid w:val="00963D15"/>
    <w:rsid w:val="00973E3C"/>
    <w:rsid w:val="009909DF"/>
    <w:rsid w:val="009942B2"/>
    <w:rsid w:val="009A5BAF"/>
    <w:rsid w:val="009B3554"/>
    <w:rsid w:val="009C0728"/>
    <w:rsid w:val="009C66A3"/>
    <w:rsid w:val="009D6295"/>
    <w:rsid w:val="009E7EE9"/>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15FAF-4333-46E7-906C-12383E4F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1919</Words>
  <Characters>10939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12833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21</cp:revision>
  <cp:lastPrinted>2017-05-29T12:59:00Z</cp:lastPrinted>
  <dcterms:created xsi:type="dcterms:W3CDTF">2021-06-22T12:32:00Z</dcterms:created>
  <dcterms:modified xsi:type="dcterms:W3CDTF">2025-05-13T08:03:00Z</dcterms:modified>
</cp:coreProperties>
</file>